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CC9A" w14:textId="77777777" w:rsidR="00907080" w:rsidRPr="00512B2B" w:rsidRDefault="00907080" w:rsidP="00512B2B">
      <w:pPr>
        <w:pStyle w:val="Nagwek1"/>
      </w:pPr>
      <w:r w:rsidRPr="00512B2B">
        <w:t>Ponowne wykorzystanie informacji sektora publicznego</w:t>
      </w:r>
    </w:p>
    <w:p w14:paraId="62630297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</w:p>
    <w:p w14:paraId="06A55706" w14:textId="77777777" w:rsid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Sprawy dotyczące ponownego wykorzystywania informacji sektora publicznego reguluje ustawa z dnia 11 sierpnia 2021 r. o otwartych danych i ponownym wykorzystywaniu informacji sektora publicznego (Dz. U. z 2021 r. poz. 1641)</w:t>
      </w:r>
    </w:p>
    <w:p w14:paraId="6704BF63" w14:textId="77777777" w:rsid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Zgodnie z art. 2 pkt 8 ustawy z dnia 11 sierpnia 2021 r. o otwartych danych i ponownym wykorzystywaniu informacji sektora publicznego, przez informację sektora publicznego należy rozumieć każdą treść lub jej część, niezależnie od sposobu utrwalenia, w szczególności w postaci papierowej, elektronicznej, dźwiękowej, wizualnej lub audiowizualnej, będącą w posiadaniu podmiotu zobowiązanego, o których mowa w art. 3 ustawy, tj. m.in. jednostek sektora finansów publicznych w rozumieniu przepisów ustawy z dnia 27 sierpnia 2009 r. o finansach publicznych (Dz. U. z 2021 r. poz. 305, 1236 i 1535)</w:t>
      </w:r>
    </w:p>
    <w:p w14:paraId="61CE610F" w14:textId="2631FEB2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Przez ponowne wykorzystywanie należy rozumieć wykorzystywanie przez osoby fizyczne, osoby prawne i jednostki organizacyjne nieposiadające osobowości prawnej informacji sektora publicznego, w celach komercyjnych lub niekomercyjnych innych niż pierwotny publiczny cel, dla którego informacja została wytworzona.</w:t>
      </w:r>
    </w:p>
    <w:p w14:paraId="456E675F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Ponownym wykorzystywaniem w rozumieniu ustawy nie jest udostępnianie lub przekazanie informacji sektora publicznego przez podmiot wykonujący zadania publiczne innemu podmiotowi wykonującemu zadania publiczne wyłącznie w celu realizacji takich zadań.</w:t>
      </w:r>
    </w:p>
    <w:p w14:paraId="37808912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lastRenderedPageBreak/>
        <w:t>Wniosek o ponowne wykorzystywanie, zwany dalej „wnioskiem”, wnosi się do podmiotu zobowiązanego w przypadkach, gdy informacje sektora publicznego:</w:t>
      </w:r>
    </w:p>
    <w:p w14:paraId="59173E0C" w14:textId="77777777" w:rsidR="00907080" w:rsidRPr="00FB254E" w:rsidRDefault="00907080" w:rsidP="00512B2B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nie są udostępniane w Biuletynie Informacji Publicznej lub w portalu danych;</w:t>
      </w:r>
    </w:p>
    <w:p w14:paraId="6BB42946" w14:textId="77777777" w:rsidR="00907080" w:rsidRPr="00FB254E" w:rsidRDefault="00907080" w:rsidP="00512B2B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są udostępniane w innym systemie teleinformatycznym niż określony w pkt 1 i nie zostały określone warunki ponownego wykorzystywania lub opłaty za ponowne wykorzystywanie albo nie poinformowano o braku takich warunków lub opłat; </w:t>
      </w:r>
    </w:p>
    <w:p w14:paraId="79A0573D" w14:textId="77777777" w:rsidR="00907080" w:rsidRPr="00FB254E" w:rsidRDefault="00907080" w:rsidP="00512B2B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będą wykorzystywane na warunkach innych niż zostały dla tych informacji określone;</w:t>
      </w:r>
    </w:p>
    <w:p w14:paraId="173FC642" w14:textId="77777777" w:rsidR="00907080" w:rsidRPr="00FB254E" w:rsidRDefault="00907080" w:rsidP="00512B2B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są udostępniane lub zostały przekazane na podstawie innych ustaw określających zasady i tryb dostępu do informacji będących informacjami sektora publicznego. </w:t>
      </w:r>
    </w:p>
    <w:p w14:paraId="04A598A3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Wniosek może dotyczyć umożliwienia ponownego wykorzystywania, w sposób stały i bezpośredni w czasie rzeczywistym, informacji sektora publicznego gromadzonych i przechowywanych w systemie teleinformatycznym podmiotu zobowiązanego.</w:t>
      </w:r>
    </w:p>
    <w:p w14:paraId="5FDD63B4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Wniosek powinien zawierać w szczególności następujące informacje:</w:t>
      </w:r>
    </w:p>
    <w:p w14:paraId="4B46DCF6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nazwę podmiotu zobowiązanego; </w:t>
      </w:r>
    </w:p>
    <w:p w14:paraId="7897AAC5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informacje o wnioskodawcy, w tym imię i nazwisko albo nazwę oraz adres umożliwiający dostarczenie odpowiedzi do wnioskodawcy albo pełnomocnika tego wnioskodawcy w sposób lub w formie wskazanych we wniosku;</w:t>
      </w:r>
    </w:p>
    <w:p w14:paraId="6D7F4CDD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wskazanie informacji sektora publicznego, które będą ponownie wykorzystywane, a jeżeli są już udostępniane lub zostały przekazane, warunki ponownego wykorzystywania, na jakich mają być ponownie wykorzystywane, oraz źródło udostępniania lub przekazania;</w:t>
      </w:r>
    </w:p>
    <w:p w14:paraId="47B49985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lastRenderedPageBreak/>
        <w:t>wskazanie celu ponownego wykorzystywania, w tym określenie rodzaju działalności, w której informacje sektora publicznego będą ponownie wykorzystywane, w szczególności wskazanie dóbr, produktów lub usług;</w:t>
      </w:r>
    </w:p>
    <w:p w14:paraId="7672580F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wskazanie formy przygotowania informacji sektora publicznego, a w przypadku postaci elektronicznej – także wskazanie formatu danych;</w:t>
      </w:r>
    </w:p>
    <w:p w14:paraId="1BA92200" w14:textId="77777777" w:rsidR="00907080" w:rsidRPr="00FB254E" w:rsidRDefault="00907080" w:rsidP="00512B2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wskazanie:</w:t>
      </w:r>
    </w:p>
    <w:p w14:paraId="428A18DD" w14:textId="5242582D" w:rsidR="00907080" w:rsidRPr="00FB254E" w:rsidRDefault="00907080" w:rsidP="00512B2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sposobu przekazania informacji sektora publicznego, o ile nie są udostępniane lub nie zostały przekazane w inny sposób, albo</w:t>
      </w:r>
    </w:p>
    <w:p w14:paraId="46E8BF56" w14:textId="00F41B15" w:rsidR="00907080" w:rsidRPr="00FB254E" w:rsidRDefault="00907080" w:rsidP="00512B2B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sposobu i okresu dostępu do informacji gromadzonych i przechowywanych w systemie teleinformatycznym, o którym mowa w ust. 2. </w:t>
      </w:r>
    </w:p>
    <w:p w14:paraId="6A01130B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 przypadku niespełnienia warunków formalnych wniosku wzywa się wnioskodawcę do usunięcia braków formalnych, wraz z pouczeniem, że ich nieusunięcie w terminie 7 dni od dnia otrzymania wezwania spowoduje pozostawienie wniosku bez rozpoznania.</w:t>
      </w:r>
    </w:p>
    <w:p w14:paraId="46446DCE" w14:textId="157FE821" w:rsidR="00907080" w:rsidRPr="00512B2B" w:rsidRDefault="00907080" w:rsidP="00512B2B">
      <w:pPr>
        <w:pStyle w:val="Nagwek2"/>
      </w:pPr>
      <w:r w:rsidRPr="00512B2B">
        <w:t>Złożenie wniosku</w:t>
      </w:r>
      <w:r w:rsidR="00512B2B">
        <w:br/>
      </w:r>
    </w:p>
    <w:p w14:paraId="4A354563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Wniosek o ponowne wykorzystywanie informacji sektora publicznego może być złożony:</w:t>
      </w:r>
    </w:p>
    <w:p w14:paraId="78B3C0BA" w14:textId="77777777" w:rsidR="00907080" w:rsidRPr="00FB254E" w:rsidRDefault="00907080" w:rsidP="00512B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elektronicznie – na adres email Miejskiego Ośrodka Kultury: kancelaria@mok.piotrkow.pl</w:t>
      </w:r>
    </w:p>
    <w:p w14:paraId="22F590A4" w14:textId="77777777" w:rsidR="00907080" w:rsidRPr="00FB254E" w:rsidRDefault="00907080" w:rsidP="00512B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elektronicznie – za pośrednictwem platformy </w:t>
      </w:r>
      <w:proofErr w:type="spellStart"/>
      <w:r w:rsidRPr="00FB254E">
        <w:rPr>
          <w:rFonts w:ascii="Arial" w:hAnsi="Arial" w:cs="Arial"/>
          <w:sz w:val="28"/>
          <w:szCs w:val="28"/>
        </w:rPr>
        <w:t>ePUAP</w:t>
      </w:r>
      <w:proofErr w:type="spellEnd"/>
    </w:p>
    <w:p w14:paraId="41BA9ACD" w14:textId="77777777" w:rsidR="00907080" w:rsidRPr="00FB254E" w:rsidRDefault="00907080" w:rsidP="00512B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listownie na adres:</w:t>
      </w:r>
    </w:p>
    <w:p w14:paraId="609A5393" w14:textId="26CD594F" w:rsidR="00907080" w:rsidRPr="00FB254E" w:rsidRDefault="00907080" w:rsidP="00512B2B">
      <w:pPr>
        <w:pStyle w:val="Akapitzlist"/>
        <w:numPr>
          <w:ilvl w:val="1"/>
          <w:numId w:val="9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B254E">
        <w:rPr>
          <w:rFonts w:ascii="Arial" w:hAnsi="Arial" w:cs="Arial"/>
          <w:b/>
          <w:sz w:val="28"/>
          <w:szCs w:val="28"/>
        </w:rPr>
        <w:t>Miejski Ośrodek Kultury</w:t>
      </w:r>
      <w:r w:rsidR="00FB254E">
        <w:rPr>
          <w:rFonts w:ascii="Arial" w:hAnsi="Arial" w:cs="Arial"/>
          <w:b/>
          <w:sz w:val="28"/>
          <w:szCs w:val="28"/>
        </w:rPr>
        <w:br/>
      </w:r>
      <w:r w:rsidRPr="00FB254E">
        <w:rPr>
          <w:rFonts w:ascii="Arial" w:hAnsi="Arial" w:cs="Arial"/>
          <w:b/>
          <w:sz w:val="28"/>
          <w:szCs w:val="28"/>
        </w:rPr>
        <w:t>w Piotrkowie Trybunalskim</w:t>
      </w:r>
      <w:r w:rsidR="00FB254E">
        <w:rPr>
          <w:rFonts w:ascii="Arial" w:hAnsi="Arial" w:cs="Arial"/>
          <w:b/>
          <w:sz w:val="28"/>
          <w:szCs w:val="28"/>
        </w:rPr>
        <w:br/>
      </w:r>
      <w:r w:rsidRPr="00FB254E">
        <w:rPr>
          <w:rFonts w:ascii="Arial" w:hAnsi="Arial" w:cs="Arial"/>
          <w:b/>
          <w:sz w:val="28"/>
          <w:szCs w:val="28"/>
        </w:rPr>
        <w:t>ul. Słowackiego 13</w:t>
      </w:r>
      <w:r w:rsidR="00FB254E">
        <w:rPr>
          <w:rFonts w:ascii="Arial" w:hAnsi="Arial" w:cs="Arial"/>
          <w:b/>
          <w:sz w:val="28"/>
          <w:szCs w:val="28"/>
        </w:rPr>
        <w:br/>
      </w:r>
      <w:r w:rsidRPr="00FB254E">
        <w:rPr>
          <w:rFonts w:ascii="Arial" w:hAnsi="Arial" w:cs="Arial"/>
          <w:b/>
          <w:sz w:val="28"/>
          <w:szCs w:val="28"/>
        </w:rPr>
        <w:t>97-300 Piotrków Trybunalski</w:t>
      </w:r>
    </w:p>
    <w:p w14:paraId="1B85264A" w14:textId="77777777" w:rsidR="00907080" w:rsidRPr="00FB254E" w:rsidRDefault="00907080" w:rsidP="00512B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E1AB056" w14:textId="77777777" w:rsidR="00907080" w:rsidRPr="00FB254E" w:rsidRDefault="00907080" w:rsidP="0088095B">
      <w:pPr>
        <w:pStyle w:val="Nagwek3"/>
      </w:pPr>
      <w:r w:rsidRPr="00FB254E">
        <w:t>Warunki ponownego wykorzystywania informacji sektora publicznego obejmują:</w:t>
      </w:r>
    </w:p>
    <w:p w14:paraId="40EBA9B6" w14:textId="77777777" w:rsidR="00907080" w:rsidRPr="00FB254E" w:rsidRDefault="00907080" w:rsidP="00512B2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Obowiązek poinformowania o źródle pochodzenia, czasie wytworzenia i pozyskania informacji od Miejskiego Ośrodka Kultury w Piotrkowie Trybunalskim.</w:t>
      </w:r>
    </w:p>
    <w:p w14:paraId="0A7769C9" w14:textId="77777777" w:rsidR="003737F7" w:rsidRDefault="00907080" w:rsidP="00512B2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Obowiązek poinformowania o przetworzeniu informacji ponownie wykorzystywanej.</w:t>
      </w:r>
      <w:r w:rsidR="003737F7">
        <w:rPr>
          <w:rFonts w:ascii="Arial" w:hAnsi="Arial" w:cs="Arial"/>
          <w:sz w:val="28"/>
          <w:szCs w:val="28"/>
        </w:rPr>
        <w:br/>
      </w:r>
    </w:p>
    <w:p w14:paraId="2BDA761F" w14:textId="40B8BEAA" w:rsidR="00907080" w:rsidRPr="003737F7" w:rsidRDefault="003737F7" w:rsidP="003737F7">
      <w:pPr>
        <w:pStyle w:val="Nagwek3"/>
      </w:pPr>
      <w:r w:rsidRPr="003737F7">
        <w:t>Ważne</w:t>
      </w:r>
    </w:p>
    <w:p w14:paraId="49E4EBE3" w14:textId="77777777" w:rsidR="00907080" w:rsidRPr="00FB254E" w:rsidRDefault="00907080" w:rsidP="00512B2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Miejski Ośrodek Kultury w Piotrkowie Trybunalskim:</w:t>
      </w:r>
    </w:p>
    <w:p w14:paraId="6E3A344F" w14:textId="77777777" w:rsidR="00907080" w:rsidRPr="00FB254E" w:rsidRDefault="00907080" w:rsidP="00512B2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może przedstawić wnioskodawcy ofertę określającą warunki ponownego wykorzystywania żądanych informacji oraz wysokość opłaty z tym związanej,</w:t>
      </w:r>
    </w:p>
    <w:p w14:paraId="49F5BA87" w14:textId="77777777" w:rsidR="00907080" w:rsidRPr="00FB254E" w:rsidRDefault="00907080" w:rsidP="00512B2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może również określić dodatkowe warunki, jeśli ponowne wykorzystywanie dotyczy informacji sektora publicznego spełniającej cechy utworu lub przedmiotu praw pokrewnych w rozumieniu przepisów ustawy z dnia 4 lutego 1994 r. o prawie autorskim i prawach pokrewnych (</w:t>
      </w:r>
      <w:proofErr w:type="spellStart"/>
      <w:r w:rsidRPr="00FB254E">
        <w:rPr>
          <w:rFonts w:ascii="Arial" w:hAnsi="Arial" w:cs="Arial"/>
          <w:sz w:val="28"/>
          <w:szCs w:val="28"/>
        </w:rPr>
        <w:t>t.j</w:t>
      </w:r>
      <w:proofErr w:type="spellEnd"/>
      <w:r w:rsidRPr="00FB254E">
        <w:rPr>
          <w:rFonts w:ascii="Arial" w:hAnsi="Arial" w:cs="Arial"/>
          <w:sz w:val="28"/>
          <w:szCs w:val="28"/>
        </w:rPr>
        <w:t>. Dz. U. 2018 r. poz. 1191) lub stanowiących bazę danych w rozumieniu przepisów ustawy z dnia 27 lipca 2001 r. o ochronie baz danych (Dz. U. z 2001 r. Nr 128, poz. 1402), do których przysługują mu autorskie prawa majątkowe lub prawa pokrewne,</w:t>
      </w:r>
    </w:p>
    <w:p w14:paraId="7301A262" w14:textId="77777777" w:rsidR="00907080" w:rsidRPr="00FB254E" w:rsidRDefault="00907080" w:rsidP="00512B2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nie ponosi odpowiedzialności za dalsze udostępnianie lub ponowne wykorzystywanie informacji sektora publicznego, w szczególności udostępnionych na stronach www.mok.piotrkow.pl i www.mok-piotrkow.bip.wikom.pl (przez podmioty powtórnie je wykorzystujące) z naruszeniem przepisów regulujących ochronę tych informacji (m. in. dot. ochrony danych osobowych, ochrony </w:t>
      </w:r>
      <w:r w:rsidRPr="00FB254E">
        <w:rPr>
          <w:rFonts w:ascii="Arial" w:hAnsi="Arial" w:cs="Arial"/>
          <w:sz w:val="28"/>
          <w:szCs w:val="28"/>
        </w:rPr>
        <w:lastRenderedPageBreak/>
        <w:t>prawa do prywatności, ochrony informacji niejawnych lub innych tajemnic ustawowo chronionych, tajemnicy przedsiębiorcy).</w:t>
      </w:r>
    </w:p>
    <w:p w14:paraId="20BF8589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</w:p>
    <w:p w14:paraId="6E729D07" w14:textId="77777777" w:rsidR="00907080" w:rsidRPr="00FB254E" w:rsidRDefault="00907080" w:rsidP="00512B2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Miejski Ośrodek Kultury w Piotrkowie Trybunalskim nie ponosi odpowiedzialności za treść informacji sektora publicznego przetworzonych przez podmiot ponownie wykorzystujący te informacje.</w:t>
      </w:r>
    </w:p>
    <w:p w14:paraId="3DFF0197" w14:textId="77777777" w:rsidR="00907080" w:rsidRPr="00FB254E" w:rsidRDefault="00907080" w:rsidP="003737F7">
      <w:pPr>
        <w:pStyle w:val="Nagwek3"/>
      </w:pPr>
      <w:r w:rsidRPr="00FB254E">
        <w:t>Terminy</w:t>
      </w:r>
    </w:p>
    <w:p w14:paraId="7AECD4FE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Udostępnienie informacji następuje bez zbędnej zwłoki, nie później jednak niż w terminie 14 dni od dnia złożenia wniosku.</w:t>
      </w:r>
    </w:p>
    <w:p w14:paraId="6AB41DFD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Jeżeli informacja nie może być udostępniona w ww. terminie wnioskodawca zostaje poinformowany o powodach opóźnienia i terminie udzielenia odpowiedzi. Termin ten nie może być dłuższy niż 2 miesiące od daty wpływu wniosku do MOK.</w:t>
      </w:r>
    </w:p>
    <w:p w14:paraId="1AEF6DB8" w14:textId="77777777" w:rsidR="00907080" w:rsidRPr="00FB254E" w:rsidRDefault="00907080" w:rsidP="003737F7">
      <w:pPr>
        <w:pStyle w:val="Nagwek3"/>
      </w:pPr>
      <w:r w:rsidRPr="00FB254E">
        <w:t>Opłaty</w:t>
      </w:r>
    </w:p>
    <w:p w14:paraId="6E50FA84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Informacje sektora publicznego są udostępniane w celu ich ponownego wykorzystywania bezpłatnie.</w:t>
      </w:r>
    </w:p>
    <w:p w14:paraId="33A78F84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Można nałożyć opłatę za ich ponowne wykorzystywanie jeżeli przygotowanie lub przekazanie informacji w sposób lub w formie wskazanych we wniosku wymaga poniesienia dodatkowych kosztów.</w:t>
      </w:r>
    </w:p>
    <w:p w14:paraId="3E3994A5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>Opłaty są ustalane indywidualnie dla każdego wniosku.</w:t>
      </w:r>
    </w:p>
    <w:p w14:paraId="420841AD" w14:textId="77777777" w:rsidR="00907080" w:rsidRPr="00FB254E" w:rsidRDefault="00907080" w:rsidP="003737F7">
      <w:pPr>
        <w:pStyle w:val="Nagwek3"/>
      </w:pPr>
      <w:r w:rsidRPr="00FB254E">
        <w:t>Ograniczenia</w:t>
      </w:r>
    </w:p>
    <w:p w14:paraId="51CC6B7A" w14:textId="77777777" w:rsidR="00907080" w:rsidRPr="00FB254E" w:rsidRDefault="00907080" w:rsidP="00512B2B">
      <w:pPr>
        <w:spacing w:line="360" w:lineRule="auto"/>
        <w:rPr>
          <w:rFonts w:ascii="Arial" w:hAnsi="Arial" w:cs="Arial"/>
          <w:sz w:val="28"/>
          <w:szCs w:val="28"/>
        </w:rPr>
      </w:pPr>
      <w:r w:rsidRPr="00FB254E">
        <w:rPr>
          <w:rFonts w:ascii="Arial" w:hAnsi="Arial" w:cs="Arial"/>
          <w:sz w:val="28"/>
          <w:szCs w:val="28"/>
        </w:rPr>
        <w:t xml:space="preserve">Prawo do ponownego wykorzystywania podlega ograniczeniu m.in. w zakresie i na zasadach określonych w przepisach o ochronie informacji niejawnych oraz o ochronie innych tajemnic ustawowo chronionych; ze względu na prywatność osoby fizycznej lub tajemnicę przedsiębiorcy - ograniczenie to nie dotyczy informacji o osobach pełniących funkcje </w:t>
      </w:r>
      <w:r w:rsidRPr="00FB254E">
        <w:rPr>
          <w:rFonts w:ascii="Arial" w:hAnsi="Arial" w:cs="Arial"/>
          <w:sz w:val="28"/>
          <w:szCs w:val="28"/>
        </w:rPr>
        <w:lastRenderedPageBreak/>
        <w:t>publiczne, mających związek z pełnieniem tych funkcji, w tym o warunkach powierzenia i wykonywania funkcji, oraz przypadku gdy osoba fizyczna lub przedsiębiorca rezygnują z przysługującego im prawa; w zakresie informacji będących informacjami sektora publicznego, do których dostęp jest ograniczony na podstawie innych ustaw; w zakresie informacji sektora publicznego, których wytwarzanie przez podmioty zobowiązane nie należy do zakresu ich zadań publicznych określonych prawem.”</w:t>
      </w:r>
    </w:p>
    <w:p w14:paraId="5F18ABFE" w14:textId="77777777" w:rsidR="00FC3F39" w:rsidRPr="00FB254E" w:rsidRDefault="00FC3F39" w:rsidP="00512B2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C3F39" w:rsidRPr="00FB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B13"/>
    <w:multiLevelType w:val="hybridMultilevel"/>
    <w:tmpl w:val="0756EED2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186"/>
    <w:multiLevelType w:val="hybridMultilevel"/>
    <w:tmpl w:val="AF60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C6E"/>
    <w:multiLevelType w:val="hybridMultilevel"/>
    <w:tmpl w:val="12A6BA8C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3E18"/>
    <w:multiLevelType w:val="hybridMultilevel"/>
    <w:tmpl w:val="29840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0EB2"/>
    <w:multiLevelType w:val="multilevel"/>
    <w:tmpl w:val="F90AA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67C48D4"/>
    <w:multiLevelType w:val="multilevel"/>
    <w:tmpl w:val="F90AA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094B42"/>
    <w:multiLevelType w:val="multilevel"/>
    <w:tmpl w:val="F90AA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945D8E"/>
    <w:multiLevelType w:val="multilevel"/>
    <w:tmpl w:val="54A84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1166506"/>
    <w:multiLevelType w:val="hybridMultilevel"/>
    <w:tmpl w:val="7E34FCF2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199"/>
    <w:multiLevelType w:val="multilevel"/>
    <w:tmpl w:val="F90AA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4338F9"/>
    <w:multiLevelType w:val="hybridMultilevel"/>
    <w:tmpl w:val="C2469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43588"/>
    <w:multiLevelType w:val="hybridMultilevel"/>
    <w:tmpl w:val="C5DE92B0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686"/>
    <w:multiLevelType w:val="hybridMultilevel"/>
    <w:tmpl w:val="E870C064"/>
    <w:lvl w:ilvl="0" w:tplc="A2843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038546">
    <w:abstractNumId w:val="11"/>
  </w:num>
  <w:num w:numId="2" w16cid:durableId="1578902436">
    <w:abstractNumId w:val="2"/>
  </w:num>
  <w:num w:numId="3" w16cid:durableId="200557733">
    <w:abstractNumId w:val="12"/>
  </w:num>
  <w:num w:numId="4" w16cid:durableId="685060510">
    <w:abstractNumId w:val="0"/>
  </w:num>
  <w:num w:numId="5" w16cid:durableId="1207327091">
    <w:abstractNumId w:val="8"/>
  </w:num>
  <w:num w:numId="6" w16cid:durableId="833228462">
    <w:abstractNumId w:val="1"/>
  </w:num>
  <w:num w:numId="7" w16cid:durableId="1905218972">
    <w:abstractNumId w:val="3"/>
  </w:num>
  <w:num w:numId="8" w16cid:durableId="1550922943">
    <w:abstractNumId w:val="5"/>
  </w:num>
  <w:num w:numId="9" w16cid:durableId="724182470">
    <w:abstractNumId w:val="4"/>
  </w:num>
  <w:num w:numId="10" w16cid:durableId="900100572">
    <w:abstractNumId w:val="9"/>
  </w:num>
  <w:num w:numId="11" w16cid:durableId="1523007684">
    <w:abstractNumId w:val="6"/>
  </w:num>
  <w:num w:numId="12" w16cid:durableId="1753548006">
    <w:abstractNumId w:val="7"/>
  </w:num>
  <w:num w:numId="13" w16cid:durableId="18196124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89"/>
    <w:rsid w:val="00063481"/>
    <w:rsid w:val="00201FFB"/>
    <w:rsid w:val="003737F7"/>
    <w:rsid w:val="00512B2B"/>
    <w:rsid w:val="0088095B"/>
    <w:rsid w:val="008A0489"/>
    <w:rsid w:val="00907080"/>
    <w:rsid w:val="00977401"/>
    <w:rsid w:val="00FB254E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208F"/>
  <w15:chartTrackingRefBased/>
  <w15:docId w15:val="{BFDDCC6B-B125-4580-91C5-AEF8905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080"/>
  </w:style>
  <w:style w:type="paragraph" w:styleId="Nagwek1">
    <w:name w:val="heading 1"/>
    <w:basedOn w:val="Normalny"/>
    <w:next w:val="Normalny"/>
    <w:link w:val="Nagwek1Znak"/>
    <w:uiPriority w:val="9"/>
    <w:qFormat/>
    <w:rsid w:val="009774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4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40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7401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sz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77401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77401"/>
    <w:pPr>
      <w:keepNext/>
      <w:keepLines/>
      <w:spacing w:before="40" w:after="0"/>
      <w:outlineLvl w:val="5"/>
    </w:pPr>
    <w:rPr>
      <w:rFonts w:ascii="Arial" w:eastAsiaTheme="majorEastAsia" w:hAnsi="Arial" w:cstheme="majorBidi"/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7401"/>
    <w:pPr>
      <w:keepNext/>
      <w:keepLines/>
      <w:spacing w:before="40" w:after="0"/>
      <w:outlineLvl w:val="6"/>
    </w:pPr>
    <w:rPr>
      <w:rFonts w:ascii="Arial" w:eastAsiaTheme="majorEastAsia" w:hAnsi="Arial" w:cstheme="majorBidi"/>
      <w:b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7401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7401"/>
    <w:rPr>
      <w:rFonts w:ascii="Arial" w:eastAsiaTheme="majorEastAsia" w:hAnsi="Arial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77401"/>
    <w:rPr>
      <w:rFonts w:ascii="Arial" w:eastAsiaTheme="majorEastAsia" w:hAnsi="Arial" w:cstheme="majorBidi"/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7401"/>
    <w:rPr>
      <w:rFonts w:ascii="Arial" w:eastAsiaTheme="majorEastAsia" w:hAnsi="Arial" w:cstheme="majorBidi"/>
      <w:b/>
      <w:iCs/>
      <w:sz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77401"/>
    <w:rPr>
      <w:rFonts w:ascii="Arial" w:eastAsiaTheme="majorEastAsia" w:hAnsi="Arial" w:cstheme="majorBidi"/>
      <w:b/>
      <w:sz w:val="32"/>
    </w:rPr>
  </w:style>
  <w:style w:type="character" w:customStyle="1" w:styleId="Nagwek6Znak">
    <w:name w:val="Nagłówek 6 Znak"/>
    <w:basedOn w:val="Domylnaczcionkaakapitu"/>
    <w:link w:val="Nagwek6"/>
    <w:uiPriority w:val="9"/>
    <w:rsid w:val="00977401"/>
    <w:rPr>
      <w:rFonts w:ascii="Arial" w:eastAsiaTheme="majorEastAsia" w:hAnsi="Arial" w:cstheme="majorBidi"/>
      <w:b/>
      <w:sz w:val="32"/>
    </w:rPr>
  </w:style>
  <w:style w:type="character" w:customStyle="1" w:styleId="Nagwek7Znak">
    <w:name w:val="Nagłówek 7 Znak"/>
    <w:basedOn w:val="Domylnaczcionkaakapitu"/>
    <w:link w:val="Nagwek7"/>
    <w:uiPriority w:val="9"/>
    <w:rsid w:val="00977401"/>
    <w:rPr>
      <w:rFonts w:ascii="Arial" w:eastAsiaTheme="majorEastAsia" w:hAnsi="Arial" w:cstheme="majorBidi"/>
      <w:b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Krężlik</dc:creator>
  <cp:keywords/>
  <dc:description/>
  <cp:lastModifiedBy>Dawid Krężlik</cp:lastModifiedBy>
  <cp:revision>7</cp:revision>
  <dcterms:created xsi:type="dcterms:W3CDTF">2022-08-24T06:05:00Z</dcterms:created>
  <dcterms:modified xsi:type="dcterms:W3CDTF">2022-08-29T10:36:00Z</dcterms:modified>
</cp:coreProperties>
</file>